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1713F910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9D4FE9">
        <w:rPr>
          <w:rFonts w:ascii="Arial" w:hAnsi="Arial" w:cs="Arial"/>
          <w:b/>
          <w:sz w:val="24"/>
          <w:szCs w:val="28"/>
          <w:lang w:val="en-US"/>
        </w:rPr>
        <w:t>7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0D6CC8">
        <w:rPr>
          <w:rFonts w:ascii="Arial" w:hAnsi="Arial" w:cs="Arial"/>
          <w:b/>
          <w:sz w:val="24"/>
          <w:szCs w:val="28"/>
          <w:lang w:val="en-US"/>
        </w:rPr>
        <w:t>01617</w:t>
      </w:r>
      <w:r w:rsidR="00C1316E">
        <w:rPr>
          <w:rFonts w:ascii="Arial" w:hAnsi="Arial" w:cs="Arial"/>
          <w:b/>
          <w:sz w:val="24"/>
          <w:szCs w:val="28"/>
          <w:lang w:val="en-US"/>
        </w:rPr>
        <w:t>3</w:t>
      </w:r>
    </w:p>
    <w:p w14:paraId="60407F1B" w14:textId="2A8B4CED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9D4FE9">
        <w:rPr>
          <w:rFonts w:ascii="Arial" w:hAnsi="Arial" w:cs="Arial"/>
          <w:b/>
          <w:sz w:val="24"/>
          <w:szCs w:val="28"/>
          <w:lang w:val="en-US"/>
        </w:rPr>
        <w:t>November 2-13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20</w:t>
      </w:r>
    </w:p>
    <w:p w14:paraId="25590F8B" w14:textId="6FF5981C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9D4FE9">
        <w:rPr>
          <w:rFonts w:ascii="Arial" w:hAnsi="Arial" w:cs="Arial"/>
          <w:sz w:val="22"/>
          <w:szCs w:val="22"/>
          <w:lang w:val="en-US"/>
        </w:rPr>
        <w:t>7</w:t>
      </w:r>
      <w:r w:rsidR="00971BAF" w:rsidRPr="001D2FBF">
        <w:rPr>
          <w:rFonts w:ascii="Arial" w:hAnsi="Arial" w:cs="Arial"/>
          <w:sz w:val="22"/>
          <w:szCs w:val="22"/>
          <w:lang w:val="en-US"/>
        </w:rPr>
        <w:t>.</w:t>
      </w:r>
      <w:r w:rsidR="009D4FE9">
        <w:rPr>
          <w:rFonts w:ascii="Arial" w:hAnsi="Arial" w:cs="Arial"/>
          <w:sz w:val="22"/>
          <w:szCs w:val="22"/>
          <w:lang w:val="en-US"/>
        </w:rPr>
        <w:t>4</w:t>
      </w:r>
      <w:r w:rsidR="00971BAF" w:rsidRPr="001D2FBF">
        <w:rPr>
          <w:rFonts w:ascii="Arial" w:hAnsi="Arial" w:cs="Arial"/>
          <w:sz w:val="22"/>
          <w:szCs w:val="22"/>
          <w:lang w:val="en-US"/>
        </w:rPr>
        <w:t>.</w:t>
      </w:r>
      <w:r w:rsidR="000A1589">
        <w:rPr>
          <w:rFonts w:ascii="Arial" w:hAnsi="Arial" w:cs="Arial"/>
          <w:sz w:val="22"/>
          <w:szCs w:val="22"/>
          <w:lang w:val="en-US"/>
        </w:rPr>
        <w:t>5.1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15C9447C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6D1A76" w:rsidRPr="006D1A76">
        <w:rPr>
          <w:rFonts w:ascii="Arial" w:hAnsi="Arial" w:cs="Arial"/>
          <w:sz w:val="22"/>
          <w:szCs w:val="22"/>
        </w:rPr>
        <w:t>Principles for IAB RRM test cases</w:t>
      </w:r>
    </w:p>
    <w:p w14:paraId="37EAE97F" w14:textId="2E7DEA78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6D1A76">
        <w:rPr>
          <w:rFonts w:ascii="Arial" w:hAnsi="Arial" w:cs="Arial"/>
          <w:sz w:val="22"/>
          <w:szCs w:val="22"/>
        </w:rPr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6FC1710D" w14:textId="50F7838D" w:rsidR="0055506E" w:rsidRPr="001D2FBF" w:rsidRDefault="0047733E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</w:t>
      </w:r>
      <w:r w:rsidR="00BB0A7A">
        <w:rPr>
          <w:sz w:val="22"/>
          <w:szCs w:val="22"/>
          <w:lang w:val="en-US"/>
        </w:rPr>
        <w:t xml:space="preserve">RRM core </w:t>
      </w:r>
      <w:r>
        <w:rPr>
          <w:sz w:val="22"/>
          <w:szCs w:val="22"/>
          <w:lang w:val="en-US"/>
        </w:rPr>
        <w:t>requirements for</w:t>
      </w:r>
      <w:r w:rsidR="00BB0A7A">
        <w:rPr>
          <w:sz w:val="22"/>
          <w:szCs w:val="22"/>
          <w:lang w:val="en-US"/>
        </w:rPr>
        <w:t xml:space="preserve"> IAB were completed in the last meeting</w:t>
      </w:r>
      <w:r w:rsidR="000C41D7">
        <w:rPr>
          <w:sz w:val="22"/>
          <w:szCs w:val="22"/>
          <w:lang w:val="en-US"/>
        </w:rPr>
        <w:t xml:space="preserve"> and now the performance phase has started</w:t>
      </w:r>
      <w:r w:rsidR="00DC3A07">
        <w:rPr>
          <w:sz w:val="22"/>
          <w:szCs w:val="22"/>
          <w:lang w:val="en-US"/>
        </w:rPr>
        <w:t>.</w:t>
      </w:r>
      <w:r w:rsidR="0014237B">
        <w:rPr>
          <w:sz w:val="22"/>
          <w:szCs w:val="22"/>
          <w:lang w:val="en-US"/>
        </w:rPr>
        <w:t xml:space="preserve"> </w:t>
      </w:r>
      <w:r w:rsidR="000C41D7">
        <w:rPr>
          <w:sz w:val="22"/>
          <w:szCs w:val="22"/>
          <w:lang w:val="en-US"/>
        </w:rPr>
        <w:t xml:space="preserve">In this contribution we discuss </w:t>
      </w:r>
      <w:r w:rsidR="00E353CD">
        <w:rPr>
          <w:sz w:val="22"/>
          <w:szCs w:val="22"/>
          <w:lang w:val="en-US"/>
        </w:rPr>
        <w:t>test</w:t>
      </w:r>
      <w:r w:rsidR="000C41D7">
        <w:rPr>
          <w:sz w:val="22"/>
          <w:szCs w:val="22"/>
          <w:lang w:val="en-US"/>
        </w:rPr>
        <w:t>ing aspects related to IAB-MT RRM requirements.</w:t>
      </w:r>
    </w:p>
    <w:p w14:paraId="0E0C5219" w14:textId="6F00A8AD" w:rsidR="000C41D7" w:rsidRPr="000C41D7" w:rsidRDefault="00697A42" w:rsidP="000C41D7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 xml:space="preserve">Testing of </w:t>
      </w:r>
      <w:r w:rsidR="00356BA0">
        <w:t xml:space="preserve">RRM </w:t>
      </w:r>
      <w:r>
        <w:t>requirements: general principles</w:t>
      </w:r>
    </w:p>
    <w:p w14:paraId="7FD95AC5" w14:textId="07AB29C7" w:rsidR="00EE4BFF" w:rsidRDefault="00374E7E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The RRM requirements are generic</w:t>
      </w:r>
      <w:r w:rsidR="00F31051">
        <w:rPr>
          <w:sz w:val="22"/>
          <w:szCs w:val="22"/>
        </w:rPr>
        <w:t xml:space="preserve"> in terms of </w:t>
      </w:r>
      <w:r w:rsidR="008E048D">
        <w:rPr>
          <w:sz w:val="22"/>
          <w:szCs w:val="22"/>
        </w:rPr>
        <w:t>propagation environment e.g. fading, UE speed</w:t>
      </w:r>
      <w:r w:rsidR="00F31051">
        <w:rPr>
          <w:sz w:val="22"/>
          <w:szCs w:val="22"/>
        </w:rPr>
        <w:t>. However, the</w:t>
      </w:r>
      <w:r w:rsidR="008E048D">
        <w:rPr>
          <w:sz w:val="22"/>
          <w:szCs w:val="22"/>
        </w:rPr>
        <w:t xml:space="preserve">y </w:t>
      </w:r>
      <w:r w:rsidR="00F31051">
        <w:rPr>
          <w:sz w:val="22"/>
          <w:szCs w:val="22"/>
        </w:rPr>
        <w:t xml:space="preserve">are verified </w:t>
      </w:r>
      <w:r w:rsidR="008E048D">
        <w:rPr>
          <w:sz w:val="22"/>
          <w:szCs w:val="22"/>
        </w:rPr>
        <w:t>in RRM tests under specific con</w:t>
      </w:r>
      <w:r w:rsidR="00CC7416">
        <w:rPr>
          <w:sz w:val="22"/>
          <w:szCs w:val="22"/>
        </w:rPr>
        <w:t xml:space="preserve">ditions </w:t>
      </w:r>
      <w:r w:rsidR="00844AC0">
        <w:rPr>
          <w:sz w:val="22"/>
          <w:szCs w:val="22"/>
        </w:rPr>
        <w:t xml:space="preserve">e.g. certain propagation condition, with one or multiple cells etc. </w:t>
      </w:r>
      <w:r>
        <w:rPr>
          <w:sz w:val="22"/>
          <w:szCs w:val="22"/>
        </w:rPr>
        <w:t xml:space="preserve">The RRM tests </w:t>
      </w:r>
      <w:r w:rsidR="00844AC0">
        <w:rPr>
          <w:sz w:val="22"/>
          <w:szCs w:val="22"/>
        </w:rPr>
        <w:t xml:space="preserve">therefore </w:t>
      </w:r>
      <w:r>
        <w:rPr>
          <w:sz w:val="22"/>
          <w:szCs w:val="22"/>
        </w:rPr>
        <w:t xml:space="preserve">involve complex setup </w:t>
      </w:r>
      <w:r w:rsidR="00844AC0">
        <w:rPr>
          <w:sz w:val="22"/>
          <w:szCs w:val="22"/>
        </w:rPr>
        <w:t xml:space="preserve">typically </w:t>
      </w:r>
      <w:r>
        <w:rPr>
          <w:sz w:val="22"/>
          <w:szCs w:val="22"/>
        </w:rPr>
        <w:t>comprising multiple cells.</w:t>
      </w:r>
      <w:r w:rsidR="00844AC0">
        <w:rPr>
          <w:sz w:val="22"/>
          <w:szCs w:val="22"/>
        </w:rPr>
        <w:t xml:space="preserve"> RAN4 also has the right competence to </w:t>
      </w:r>
      <w:proofErr w:type="spellStart"/>
      <w:r w:rsidR="00844AC0">
        <w:rPr>
          <w:sz w:val="22"/>
          <w:szCs w:val="22"/>
        </w:rPr>
        <w:t>interprete</w:t>
      </w:r>
      <w:proofErr w:type="spellEnd"/>
      <w:r w:rsidR="00844AC0">
        <w:rPr>
          <w:sz w:val="22"/>
          <w:szCs w:val="22"/>
        </w:rPr>
        <w:t xml:space="preserve"> the test requirements. Therefore, </w:t>
      </w:r>
      <w:r w:rsidR="00791ADA">
        <w:rPr>
          <w:sz w:val="22"/>
          <w:szCs w:val="22"/>
        </w:rPr>
        <w:t xml:space="preserve">RAN4 has </w:t>
      </w:r>
      <w:r w:rsidR="00D44561">
        <w:rPr>
          <w:sz w:val="22"/>
          <w:szCs w:val="22"/>
        </w:rPr>
        <w:t xml:space="preserve">been </w:t>
      </w:r>
      <w:r w:rsidR="00791ADA">
        <w:rPr>
          <w:sz w:val="22"/>
          <w:szCs w:val="22"/>
        </w:rPr>
        <w:t>develop</w:t>
      </w:r>
      <w:r w:rsidR="00D44561">
        <w:rPr>
          <w:sz w:val="22"/>
          <w:szCs w:val="22"/>
        </w:rPr>
        <w:t>ing</w:t>
      </w:r>
      <w:r w:rsidR="00791ADA">
        <w:rPr>
          <w:sz w:val="22"/>
          <w:szCs w:val="22"/>
        </w:rPr>
        <w:t xml:space="preserve"> UE RRM test cases</w:t>
      </w:r>
      <w:r w:rsidR="00D44561">
        <w:rPr>
          <w:sz w:val="22"/>
          <w:szCs w:val="22"/>
        </w:rPr>
        <w:t xml:space="preserve"> in order to assist RAN5 in developing corresponding RRM conformance tests. </w:t>
      </w:r>
    </w:p>
    <w:p w14:paraId="323146A2" w14:textId="6C5F3A76" w:rsidR="0010015D" w:rsidRDefault="00844AC0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In our view RAN4 should follow the same approach for developing IAB RRM tests </w:t>
      </w:r>
      <w:r w:rsidR="00AD379B">
        <w:rPr>
          <w:sz w:val="22"/>
          <w:szCs w:val="22"/>
        </w:rPr>
        <w:t xml:space="preserve">as </w:t>
      </w:r>
      <w:r>
        <w:rPr>
          <w:sz w:val="22"/>
          <w:szCs w:val="22"/>
        </w:rPr>
        <w:t xml:space="preserve">used for </w:t>
      </w:r>
      <w:r w:rsidR="00AD379B">
        <w:rPr>
          <w:sz w:val="22"/>
          <w:szCs w:val="22"/>
        </w:rPr>
        <w:t xml:space="preserve">the </w:t>
      </w:r>
      <w:r>
        <w:rPr>
          <w:sz w:val="22"/>
          <w:szCs w:val="22"/>
        </w:rPr>
        <w:t>UE RRM tests. This means RAN4 defines IAB</w:t>
      </w:r>
      <w:r w:rsidR="00D23B8C">
        <w:rPr>
          <w:sz w:val="22"/>
          <w:szCs w:val="22"/>
        </w:rPr>
        <w:t xml:space="preserve">-MT </w:t>
      </w:r>
      <w:r>
        <w:rPr>
          <w:sz w:val="22"/>
          <w:szCs w:val="22"/>
        </w:rPr>
        <w:t xml:space="preserve">RRM tests in the annex of the IAB specification where the </w:t>
      </w:r>
      <w:r w:rsidR="00D23B8C">
        <w:rPr>
          <w:sz w:val="22"/>
          <w:szCs w:val="22"/>
        </w:rPr>
        <w:t xml:space="preserve">IAB-MT </w:t>
      </w:r>
      <w:r>
        <w:rPr>
          <w:sz w:val="22"/>
          <w:szCs w:val="22"/>
        </w:rPr>
        <w:t>RRM requirements are defined i.e. TS 38.174</w:t>
      </w:r>
      <w:r w:rsidR="00AD379B">
        <w:rPr>
          <w:sz w:val="22"/>
          <w:szCs w:val="22"/>
        </w:rPr>
        <w:t xml:space="preserve">. </w:t>
      </w:r>
      <w:r w:rsidR="00697A42">
        <w:rPr>
          <w:sz w:val="22"/>
          <w:szCs w:val="22"/>
        </w:rPr>
        <w:t xml:space="preserve">RAN4 does not have competence to develop RRM conformance tests. Therefore, </w:t>
      </w:r>
      <w:r w:rsidR="00AD379B">
        <w:rPr>
          <w:sz w:val="22"/>
          <w:szCs w:val="22"/>
        </w:rPr>
        <w:t xml:space="preserve">the </w:t>
      </w:r>
      <w:r w:rsidR="001E27C4">
        <w:rPr>
          <w:sz w:val="22"/>
          <w:szCs w:val="22"/>
        </w:rPr>
        <w:t>IAB</w:t>
      </w:r>
      <w:r w:rsidR="00D23B8C">
        <w:rPr>
          <w:sz w:val="22"/>
          <w:szCs w:val="22"/>
        </w:rPr>
        <w:t>-MT</w:t>
      </w:r>
      <w:r w:rsidR="001E27C4">
        <w:rPr>
          <w:sz w:val="22"/>
          <w:szCs w:val="22"/>
        </w:rPr>
        <w:t xml:space="preserve"> RRM tests should have the same level of details as in the UE RRM tests in the annex of </w:t>
      </w:r>
      <w:r w:rsidR="00697A42">
        <w:rPr>
          <w:sz w:val="22"/>
          <w:szCs w:val="22"/>
        </w:rPr>
        <w:t xml:space="preserve">RRM specs (e.g. TS 36.133, TS 38.133). RAN5 </w:t>
      </w:r>
      <w:proofErr w:type="spellStart"/>
      <w:r w:rsidR="00697A42">
        <w:rPr>
          <w:sz w:val="22"/>
          <w:szCs w:val="22"/>
        </w:rPr>
        <w:t>developes</w:t>
      </w:r>
      <w:proofErr w:type="spellEnd"/>
      <w:r w:rsidR="00697A42">
        <w:rPr>
          <w:sz w:val="22"/>
          <w:szCs w:val="22"/>
        </w:rPr>
        <w:t xml:space="preserve"> conformance tests for UE. Therefore, the conformance testing of the IAB</w:t>
      </w:r>
      <w:r w:rsidR="00D23B8C">
        <w:rPr>
          <w:sz w:val="22"/>
          <w:szCs w:val="22"/>
        </w:rPr>
        <w:t>-MT</w:t>
      </w:r>
      <w:r w:rsidR="00697A42">
        <w:rPr>
          <w:sz w:val="22"/>
          <w:szCs w:val="22"/>
        </w:rPr>
        <w:t xml:space="preserve"> RRM tests shall be outside the scope of 3GPP. However, </w:t>
      </w:r>
      <w:r w:rsidR="0010015D">
        <w:rPr>
          <w:sz w:val="22"/>
          <w:szCs w:val="22"/>
        </w:rPr>
        <w:t xml:space="preserve">RAN4 </w:t>
      </w:r>
      <w:r w:rsidR="00697A42">
        <w:rPr>
          <w:sz w:val="22"/>
          <w:szCs w:val="22"/>
        </w:rPr>
        <w:t>IAB</w:t>
      </w:r>
      <w:r w:rsidR="00D23B8C">
        <w:rPr>
          <w:sz w:val="22"/>
          <w:szCs w:val="22"/>
        </w:rPr>
        <w:t>-MT</w:t>
      </w:r>
      <w:r w:rsidR="00697A42">
        <w:rPr>
          <w:sz w:val="22"/>
          <w:szCs w:val="22"/>
        </w:rPr>
        <w:t xml:space="preserve"> RRM tests in the IAB specification will assist </w:t>
      </w:r>
      <w:r w:rsidR="0010015D">
        <w:rPr>
          <w:sz w:val="22"/>
          <w:szCs w:val="22"/>
        </w:rPr>
        <w:t>testing companies to develop and performance conformance tests.</w:t>
      </w:r>
    </w:p>
    <w:p w14:paraId="4549C57C" w14:textId="7AC51263" w:rsidR="0010015D" w:rsidRPr="000C41D7" w:rsidRDefault="0010015D" w:rsidP="0010015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Scenario for IAB</w:t>
      </w:r>
      <w:r w:rsidR="00D22FFB">
        <w:t>-MT</w:t>
      </w:r>
      <w:r>
        <w:t xml:space="preserve"> RRM test cases</w:t>
      </w:r>
    </w:p>
    <w:p w14:paraId="7974FF80" w14:textId="203AC1F9" w:rsidR="0010015D" w:rsidRDefault="00064047" w:rsidP="0010015D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RAN4 can develop </w:t>
      </w:r>
      <w:r w:rsidR="0010015D">
        <w:rPr>
          <w:sz w:val="22"/>
          <w:szCs w:val="22"/>
        </w:rPr>
        <w:t xml:space="preserve">RRM </w:t>
      </w:r>
      <w:r>
        <w:rPr>
          <w:sz w:val="22"/>
          <w:szCs w:val="22"/>
        </w:rPr>
        <w:t xml:space="preserve">tests to verify all </w:t>
      </w:r>
      <w:r w:rsidR="00A5519A">
        <w:rPr>
          <w:sz w:val="22"/>
          <w:szCs w:val="22"/>
        </w:rPr>
        <w:t xml:space="preserve">the IAB-MT </w:t>
      </w:r>
      <w:r>
        <w:rPr>
          <w:sz w:val="22"/>
          <w:szCs w:val="22"/>
        </w:rPr>
        <w:t xml:space="preserve">RRM core </w:t>
      </w:r>
      <w:r w:rsidR="00A5519A">
        <w:rPr>
          <w:sz w:val="22"/>
          <w:szCs w:val="22"/>
        </w:rPr>
        <w:t xml:space="preserve">requirements </w:t>
      </w:r>
      <w:r>
        <w:rPr>
          <w:sz w:val="22"/>
          <w:szCs w:val="22"/>
        </w:rPr>
        <w:t xml:space="preserve">defined in TS 38.174. </w:t>
      </w:r>
      <w:r w:rsidR="002D3D25">
        <w:rPr>
          <w:sz w:val="22"/>
          <w:szCs w:val="22"/>
        </w:rPr>
        <w:t>Furthermore, tests shall be defined in both FR1 and FR2.</w:t>
      </w:r>
      <w:r w:rsidR="00D23B8C">
        <w:rPr>
          <w:sz w:val="22"/>
          <w:szCs w:val="22"/>
        </w:rPr>
        <w:t xml:space="preserve"> </w:t>
      </w:r>
      <w:r w:rsidR="00FD085F">
        <w:rPr>
          <w:sz w:val="22"/>
          <w:szCs w:val="22"/>
        </w:rPr>
        <w:t xml:space="preserve">The test cases to verify the RRC re-establishment, </w:t>
      </w:r>
      <w:r w:rsidR="00A5519A">
        <w:rPr>
          <w:sz w:val="22"/>
          <w:szCs w:val="22"/>
        </w:rPr>
        <w:t xml:space="preserve">redirection, RACH, UE transmit timing error and timing advance </w:t>
      </w:r>
      <w:r w:rsidR="00FD085F">
        <w:rPr>
          <w:sz w:val="22"/>
          <w:szCs w:val="22"/>
        </w:rPr>
        <w:t xml:space="preserve">requirements shall be applicable </w:t>
      </w:r>
      <w:r w:rsidR="00A5519A">
        <w:rPr>
          <w:sz w:val="22"/>
          <w:szCs w:val="22"/>
        </w:rPr>
        <w:t>for both wide area and</w:t>
      </w:r>
      <w:r w:rsidR="00FD085F">
        <w:rPr>
          <w:sz w:val="22"/>
          <w:szCs w:val="22"/>
        </w:rPr>
        <w:t xml:space="preserve"> local area IAB-MT class</w:t>
      </w:r>
      <w:r w:rsidR="00A5519A">
        <w:rPr>
          <w:sz w:val="22"/>
          <w:szCs w:val="22"/>
        </w:rPr>
        <w:t>es</w:t>
      </w:r>
      <w:r w:rsidR="00FD085F">
        <w:rPr>
          <w:sz w:val="22"/>
          <w:szCs w:val="22"/>
        </w:rPr>
        <w:t xml:space="preserve">. </w:t>
      </w:r>
      <w:r w:rsidR="00A5519A">
        <w:rPr>
          <w:sz w:val="22"/>
          <w:szCs w:val="22"/>
        </w:rPr>
        <w:t>But t</w:t>
      </w:r>
      <w:r w:rsidR="00D23B8C">
        <w:rPr>
          <w:sz w:val="22"/>
          <w:szCs w:val="22"/>
        </w:rPr>
        <w:t xml:space="preserve">he test cases </w:t>
      </w:r>
      <w:r w:rsidR="00D22FFB">
        <w:rPr>
          <w:sz w:val="22"/>
          <w:szCs w:val="22"/>
        </w:rPr>
        <w:t xml:space="preserve">to verify the RLM and link recovery </w:t>
      </w:r>
      <w:r w:rsidR="00FD085F">
        <w:rPr>
          <w:sz w:val="22"/>
          <w:szCs w:val="22"/>
        </w:rPr>
        <w:t xml:space="preserve">requirements shall be applicable only to local area IAB-MT class. </w:t>
      </w:r>
    </w:p>
    <w:p w14:paraId="5009988F" w14:textId="51E1D183" w:rsidR="00FC04EA" w:rsidRDefault="00A5519A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The test setup, configuration</w:t>
      </w:r>
      <w:r w:rsidR="00183FC5">
        <w:rPr>
          <w:sz w:val="22"/>
          <w:szCs w:val="22"/>
        </w:rPr>
        <w:t xml:space="preserve">, propagation conditions and other </w:t>
      </w:r>
      <w:r>
        <w:rPr>
          <w:sz w:val="22"/>
          <w:szCs w:val="22"/>
        </w:rPr>
        <w:t xml:space="preserve">parameters used in the UE RRM tests in 38.133 can be reused </w:t>
      </w:r>
      <w:r w:rsidR="00183FC5">
        <w:rPr>
          <w:sz w:val="22"/>
          <w:szCs w:val="22"/>
        </w:rPr>
        <w:t xml:space="preserve">as much as possible in the </w:t>
      </w:r>
      <w:proofErr w:type="spellStart"/>
      <w:r w:rsidR="00183FC5">
        <w:rPr>
          <w:sz w:val="22"/>
          <w:szCs w:val="22"/>
        </w:rPr>
        <w:t>corresponsding</w:t>
      </w:r>
      <w:proofErr w:type="spellEnd"/>
      <w:r w:rsidR="00183FC5">
        <w:rPr>
          <w:sz w:val="22"/>
          <w:szCs w:val="22"/>
        </w:rPr>
        <w:t xml:space="preserve"> or similar tests for IAB-MT. This will reduce the effort in RAN4. </w:t>
      </w:r>
    </w:p>
    <w:p w14:paraId="647E5C4F" w14:textId="62FAD00B" w:rsidR="00FC04EA" w:rsidRPr="000C41D7" w:rsidRDefault="00FC04EA" w:rsidP="00FC04EA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Specification structure for IAB RRM tests</w:t>
      </w:r>
    </w:p>
    <w:p w14:paraId="283CBA38" w14:textId="6E3C8C02" w:rsidR="003E1E3C" w:rsidRDefault="00183FC5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We propose to create a new annex in TS 38.174 for IAB-MT RRM test cases. </w:t>
      </w:r>
      <w:r w:rsidR="009309DB">
        <w:rPr>
          <w:sz w:val="22"/>
          <w:szCs w:val="22"/>
        </w:rPr>
        <w:t>The new annex can have 3 parts to cover:</w:t>
      </w:r>
    </w:p>
    <w:p w14:paraId="23D42017" w14:textId="0BB56498" w:rsidR="009309DB" w:rsidRDefault="005F012D" w:rsidP="005F012D">
      <w:pPr>
        <w:pStyle w:val="BodyText"/>
        <w:numPr>
          <w:ilvl w:val="0"/>
          <w:numId w:val="31"/>
        </w:numPr>
        <w:spacing w:before="240"/>
        <w:ind w:left="357" w:hanging="357"/>
      </w:pPr>
      <w:r>
        <w:t xml:space="preserve">Test configuration related </w:t>
      </w:r>
      <w:r w:rsidR="006618F8">
        <w:t>aspects used in the RRM tests</w:t>
      </w:r>
    </w:p>
    <w:p w14:paraId="20C37498" w14:textId="277AE667" w:rsidR="005F012D" w:rsidRDefault="006618F8" w:rsidP="005F012D">
      <w:pPr>
        <w:pStyle w:val="BodyText"/>
        <w:numPr>
          <w:ilvl w:val="0"/>
          <w:numId w:val="31"/>
        </w:numPr>
        <w:ind w:left="360"/>
      </w:pPr>
      <w:r>
        <w:t>RRM t</w:t>
      </w:r>
      <w:r w:rsidR="005F012D">
        <w:t>est cases</w:t>
      </w:r>
    </w:p>
    <w:p w14:paraId="202D19D3" w14:textId="77777777" w:rsidR="005F012D" w:rsidRDefault="005F012D" w:rsidP="005F012D">
      <w:pPr>
        <w:pStyle w:val="BodyText"/>
      </w:pPr>
    </w:p>
    <w:p w14:paraId="1A7104ED" w14:textId="46CE1909" w:rsidR="005F012D" w:rsidRDefault="005F012D" w:rsidP="005F012D">
      <w:pPr>
        <w:pStyle w:val="BodyText"/>
        <w:numPr>
          <w:ilvl w:val="0"/>
          <w:numId w:val="31"/>
        </w:numPr>
        <w:ind w:left="360"/>
      </w:pPr>
      <w:r w:rsidRPr="005F012D">
        <w:lastRenderedPageBreak/>
        <w:t>Conditions for IAB-MT RRM requirements applicability for operating bands</w:t>
      </w:r>
    </w:p>
    <w:p w14:paraId="6BA348C8" w14:textId="7DCE187F" w:rsidR="005F012D" w:rsidRDefault="006618F8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In TS 38.174 the last annex is annex</w:t>
      </w:r>
      <w:r w:rsidR="00BE6821">
        <w:rPr>
          <w:sz w:val="22"/>
          <w:szCs w:val="22"/>
        </w:rPr>
        <w:t xml:space="preserve"> E and annex F contains change history. T</w:t>
      </w:r>
      <w:r w:rsidR="00C57587">
        <w:rPr>
          <w:sz w:val="22"/>
          <w:szCs w:val="22"/>
        </w:rPr>
        <w:t>he new annex can be annex F and the change history can be moved to new annex G as the latter is always last in any specification.</w:t>
      </w:r>
    </w:p>
    <w:p w14:paraId="1EA28FF4" w14:textId="3747F32D" w:rsidR="005F012D" w:rsidRDefault="00C57587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In order to develop tests for all IAB-MT requirements the annex F can </w:t>
      </w:r>
      <w:r w:rsidR="004C3208">
        <w:rPr>
          <w:sz w:val="22"/>
          <w:szCs w:val="22"/>
        </w:rPr>
        <w:t>be as follows:</w:t>
      </w:r>
    </w:p>
    <w:p w14:paraId="21FE67CB" w14:textId="77777777" w:rsidR="00304521" w:rsidRPr="00304521" w:rsidRDefault="00304521" w:rsidP="004C3208">
      <w:pPr>
        <w:keepNext/>
        <w:keepLines/>
        <w:pBdr>
          <w:top w:val="single" w:sz="4" w:space="1" w:color="auto"/>
        </w:pBdr>
        <w:spacing w:before="240"/>
        <w:ind w:left="1134" w:hanging="1134"/>
        <w:outlineLvl w:val="0"/>
        <w:rPr>
          <w:rFonts w:ascii="Arial" w:eastAsia="SimSun" w:hAnsi="Arial"/>
          <w:sz w:val="24"/>
          <w:szCs w:val="24"/>
        </w:rPr>
      </w:pPr>
      <w:bookmarkStart w:id="3" w:name="_Toc535476068"/>
      <w:r w:rsidRPr="00304521">
        <w:rPr>
          <w:rFonts w:ascii="Arial" w:eastAsia="SimSun" w:hAnsi="Arial"/>
          <w:sz w:val="24"/>
          <w:szCs w:val="24"/>
        </w:rPr>
        <w:t>F.1</w:t>
      </w:r>
      <w:r w:rsidRPr="00304521">
        <w:rPr>
          <w:rFonts w:ascii="Arial" w:eastAsia="SimSun" w:hAnsi="Arial"/>
          <w:sz w:val="24"/>
          <w:szCs w:val="24"/>
        </w:rPr>
        <w:tab/>
        <w:t>IAB-MT RRM test configurations</w:t>
      </w:r>
      <w:bookmarkEnd w:id="3"/>
    </w:p>
    <w:p w14:paraId="37E0A3B3" w14:textId="77777777" w:rsidR="00304521" w:rsidRPr="00304521" w:rsidRDefault="00304521" w:rsidP="00304521">
      <w:pPr>
        <w:keepNext/>
        <w:keepLines/>
        <w:spacing w:before="240"/>
        <w:ind w:left="1134" w:hanging="1134"/>
        <w:outlineLvl w:val="0"/>
        <w:rPr>
          <w:rFonts w:ascii="Arial" w:eastAsia="SimSun" w:hAnsi="Arial"/>
          <w:sz w:val="24"/>
          <w:szCs w:val="24"/>
        </w:rPr>
      </w:pPr>
      <w:r w:rsidRPr="00304521">
        <w:rPr>
          <w:rFonts w:ascii="Arial" w:eastAsia="SimSun" w:hAnsi="Arial"/>
          <w:sz w:val="24"/>
          <w:szCs w:val="24"/>
        </w:rPr>
        <w:t>F.2</w:t>
      </w:r>
      <w:r w:rsidRPr="00304521">
        <w:rPr>
          <w:rFonts w:ascii="Arial" w:eastAsia="SimSun" w:hAnsi="Arial"/>
          <w:sz w:val="24"/>
          <w:szCs w:val="24"/>
        </w:rPr>
        <w:tab/>
        <w:t>IAB-MT RRM test cases</w:t>
      </w:r>
    </w:p>
    <w:p w14:paraId="3FF4D269" w14:textId="77777777" w:rsidR="00304521" w:rsidRPr="00304521" w:rsidRDefault="00304521" w:rsidP="00304521">
      <w:pPr>
        <w:keepNext/>
        <w:keepLines/>
        <w:spacing w:before="180"/>
        <w:ind w:left="1134" w:hanging="1134"/>
        <w:outlineLvl w:val="1"/>
        <w:rPr>
          <w:rFonts w:ascii="Arial" w:hAnsi="Arial"/>
          <w:sz w:val="24"/>
          <w:szCs w:val="24"/>
        </w:rPr>
      </w:pPr>
      <w:r w:rsidRPr="00304521">
        <w:rPr>
          <w:rFonts w:ascii="Arial" w:hAnsi="Arial"/>
          <w:sz w:val="24"/>
          <w:szCs w:val="24"/>
        </w:rPr>
        <w:t>F.2.1</w:t>
      </w:r>
      <w:r w:rsidRPr="00304521">
        <w:rPr>
          <w:rFonts w:ascii="Arial" w:hAnsi="Arial"/>
          <w:sz w:val="24"/>
          <w:szCs w:val="24"/>
        </w:rPr>
        <w:tab/>
        <w:t>RRC_CONNECTED state mobility for IAB-MTs</w:t>
      </w:r>
    </w:p>
    <w:p w14:paraId="2E38CB74" w14:textId="77777777" w:rsidR="00304521" w:rsidRPr="00304521" w:rsidRDefault="00304521" w:rsidP="00304521">
      <w:pPr>
        <w:keepNext/>
        <w:keepLines/>
        <w:spacing w:before="120"/>
        <w:ind w:left="1134" w:hanging="1134"/>
        <w:outlineLvl w:val="2"/>
        <w:rPr>
          <w:rFonts w:ascii="Arial" w:hAnsi="Arial"/>
        </w:rPr>
      </w:pPr>
      <w:r w:rsidRPr="00304521">
        <w:rPr>
          <w:rFonts w:ascii="Arial" w:hAnsi="Arial"/>
        </w:rPr>
        <w:t>F.2.1.1</w:t>
      </w:r>
      <w:r w:rsidRPr="00304521">
        <w:rPr>
          <w:rFonts w:ascii="Arial" w:hAnsi="Arial"/>
        </w:rPr>
        <w:tab/>
        <w:t>RRC Connection Mobility Control</w:t>
      </w:r>
    </w:p>
    <w:p w14:paraId="53E1FBA7" w14:textId="77777777" w:rsidR="00304521" w:rsidRPr="00304521" w:rsidRDefault="00304521" w:rsidP="00304521">
      <w:pPr>
        <w:keepNext/>
        <w:keepLines/>
        <w:spacing w:before="120"/>
        <w:ind w:left="1418" w:hanging="1418"/>
        <w:outlineLvl w:val="3"/>
        <w:rPr>
          <w:rFonts w:ascii="Arial" w:hAnsi="Arial"/>
          <w:snapToGrid w:val="0"/>
        </w:rPr>
      </w:pPr>
      <w:bookmarkStart w:id="4" w:name="_Toc535476509"/>
      <w:r w:rsidRPr="00304521">
        <w:rPr>
          <w:rFonts w:ascii="Arial" w:hAnsi="Arial"/>
          <w:snapToGrid w:val="0"/>
        </w:rPr>
        <w:t>F.2.1.1.1</w:t>
      </w:r>
      <w:r w:rsidRPr="00304521">
        <w:rPr>
          <w:rFonts w:ascii="Arial" w:hAnsi="Arial"/>
          <w:snapToGrid w:val="0"/>
        </w:rPr>
        <w:tab/>
        <w:t>RRC Re-establishment</w:t>
      </w:r>
      <w:bookmarkEnd w:id="4"/>
    </w:p>
    <w:p w14:paraId="1F801FB2" w14:textId="77777777" w:rsidR="00304521" w:rsidRPr="00304521" w:rsidRDefault="00304521" w:rsidP="00304521">
      <w:pPr>
        <w:keepNext/>
        <w:keepLines/>
        <w:spacing w:before="120"/>
        <w:ind w:left="1418" w:hanging="1418"/>
        <w:outlineLvl w:val="3"/>
        <w:rPr>
          <w:rFonts w:ascii="Arial" w:hAnsi="Arial"/>
          <w:snapToGrid w:val="0"/>
        </w:rPr>
      </w:pPr>
      <w:r w:rsidRPr="00304521">
        <w:rPr>
          <w:rFonts w:ascii="Arial" w:hAnsi="Arial"/>
          <w:snapToGrid w:val="0"/>
        </w:rPr>
        <w:t>F.2.1.1.2</w:t>
      </w:r>
      <w:r w:rsidRPr="00304521">
        <w:rPr>
          <w:rFonts w:ascii="Arial" w:hAnsi="Arial"/>
          <w:snapToGrid w:val="0"/>
        </w:rPr>
        <w:tab/>
        <w:t>Random Access</w:t>
      </w:r>
    </w:p>
    <w:p w14:paraId="114CA3F8" w14:textId="77777777" w:rsidR="00304521" w:rsidRPr="00304521" w:rsidRDefault="00304521" w:rsidP="00304521">
      <w:pPr>
        <w:keepNext/>
        <w:keepLines/>
        <w:spacing w:before="120"/>
        <w:ind w:left="1418" w:hanging="1418"/>
        <w:outlineLvl w:val="3"/>
        <w:rPr>
          <w:rFonts w:ascii="Arial" w:hAnsi="Arial"/>
          <w:snapToGrid w:val="0"/>
        </w:rPr>
      </w:pPr>
      <w:r w:rsidRPr="00304521">
        <w:rPr>
          <w:rFonts w:ascii="Arial" w:hAnsi="Arial"/>
          <w:snapToGrid w:val="0"/>
        </w:rPr>
        <w:t>F.2.1.1.3</w:t>
      </w:r>
      <w:r w:rsidRPr="00304521">
        <w:rPr>
          <w:rFonts w:ascii="Arial" w:hAnsi="Arial"/>
          <w:snapToGrid w:val="0"/>
        </w:rPr>
        <w:tab/>
        <w:t>RRC Connection Release with Redirection</w:t>
      </w:r>
    </w:p>
    <w:p w14:paraId="443B0C54" w14:textId="77777777" w:rsidR="00304521" w:rsidRPr="00304521" w:rsidRDefault="00304521" w:rsidP="00304521">
      <w:pPr>
        <w:keepNext/>
        <w:keepLines/>
        <w:spacing w:before="180"/>
        <w:ind w:left="1134" w:hanging="1134"/>
        <w:outlineLvl w:val="1"/>
        <w:rPr>
          <w:rFonts w:ascii="Arial" w:hAnsi="Arial"/>
          <w:sz w:val="24"/>
          <w:szCs w:val="24"/>
        </w:rPr>
      </w:pPr>
      <w:r w:rsidRPr="00304521">
        <w:rPr>
          <w:rFonts w:ascii="Arial" w:hAnsi="Arial"/>
          <w:sz w:val="24"/>
          <w:szCs w:val="24"/>
        </w:rPr>
        <w:t>F.2.2</w:t>
      </w:r>
      <w:r w:rsidRPr="00304521">
        <w:rPr>
          <w:rFonts w:ascii="Arial" w:hAnsi="Arial"/>
          <w:sz w:val="24"/>
          <w:szCs w:val="24"/>
        </w:rPr>
        <w:tab/>
        <w:t>Timing</w:t>
      </w:r>
    </w:p>
    <w:p w14:paraId="2854C4F0" w14:textId="77777777" w:rsidR="00304521" w:rsidRPr="00304521" w:rsidRDefault="00304521" w:rsidP="00304521">
      <w:pPr>
        <w:keepNext/>
        <w:keepLines/>
        <w:spacing w:before="120"/>
        <w:ind w:left="1134" w:hanging="1134"/>
        <w:outlineLvl w:val="2"/>
        <w:rPr>
          <w:rFonts w:ascii="Arial" w:hAnsi="Arial"/>
        </w:rPr>
      </w:pPr>
      <w:r w:rsidRPr="00304521">
        <w:rPr>
          <w:rFonts w:ascii="Arial" w:hAnsi="Arial"/>
        </w:rPr>
        <w:t>F.2.2.1</w:t>
      </w:r>
      <w:r w:rsidRPr="00304521">
        <w:rPr>
          <w:rFonts w:ascii="Arial" w:hAnsi="Arial"/>
        </w:rPr>
        <w:tab/>
        <w:t>UE transmit timing</w:t>
      </w:r>
    </w:p>
    <w:p w14:paraId="5713FD88" w14:textId="77777777" w:rsidR="00304521" w:rsidRPr="00304521" w:rsidRDefault="00304521" w:rsidP="00304521">
      <w:pPr>
        <w:keepNext/>
        <w:keepLines/>
        <w:spacing w:before="120"/>
        <w:ind w:left="1134" w:hanging="1134"/>
        <w:outlineLvl w:val="2"/>
        <w:rPr>
          <w:rFonts w:ascii="Arial" w:hAnsi="Arial"/>
        </w:rPr>
      </w:pPr>
      <w:r w:rsidRPr="00304521">
        <w:rPr>
          <w:rFonts w:ascii="Arial" w:hAnsi="Arial"/>
        </w:rPr>
        <w:t>F.2.2.2</w:t>
      </w:r>
      <w:r w:rsidRPr="00304521">
        <w:rPr>
          <w:rFonts w:ascii="Arial" w:hAnsi="Arial"/>
        </w:rPr>
        <w:tab/>
        <w:t>Timing advance</w:t>
      </w:r>
    </w:p>
    <w:p w14:paraId="34F23C26" w14:textId="77777777" w:rsidR="00304521" w:rsidRPr="00304521" w:rsidRDefault="00304521" w:rsidP="00304521">
      <w:pPr>
        <w:keepNext/>
        <w:keepLines/>
        <w:spacing w:before="180"/>
        <w:ind w:left="1134" w:hanging="1134"/>
        <w:outlineLvl w:val="1"/>
        <w:rPr>
          <w:rFonts w:ascii="Arial" w:hAnsi="Arial"/>
          <w:sz w:val="24"/>
          <w:szCs w:val="24"/>
        </w:rPr>
      </w:pPr>
      <w:r w:rsidRPr="00304521">
        <w:rPr>
          <w:rFonts w:ascii="Arial" w:hAnsi="Arial"/>
          <w:sz w:val="24"/>
          <w:szCs w:val="24"/>
        </w:rPr>
        <w:t>F.2.3</w:t>
      </w:r>
      <w:r w:rsidRPr="00304521">
        <w:rPr>
          <w:rFonts w:ascii="Arial" w:hAnsi="Arial"/>
          <w:sz w:val="24"/>
          <w:szCs w:val="24"/>
        </w:rPr>
        <w:tab/>
        <w:t>Signalling Characteristics for IAB MTs</w:t>
      </w:r>
    </w:p>
    <w:p w14:paraId="4BFA4D4E" w14:textId="77777777" w:rsidR="00304521" w:rsidRPr="00304521" w:rsidRDefault="00304521" w:rsidP="00304521">
      <w:pPr>
        <w:keepNext/>
        <w:keepLines/>
        <w:spacing w:before="120"/>
        <w:ind w:left="1134" w:hanging="1134"/>
        <w:outlineLvl w:val="2"/>
        <w:rPr>
          <w:rFonts w:ascii="Arial" w:hAnsi="Arial"/>
        </w:rPr>
      </w:pPr>
      <w:r w:rsidRPr="00304521">
        <w:rPr>
          <w:rFonts w:ascii="Arial" w:hAnsi="Arial"/>
        </w:rPr>
        <w:t>F.2.3.1</w:t>
      </w:r>
      <w:r w:rsidRPr="00304521">
        <w:rPr>
          <w:rFonts w:ascii="Arial" w:hAnsi="Arial"/>
        </w:rPr>
        <w:tab/>
        <w:t>Radio link Monitoring</w:t>
      </w:r>
    </w:p>
    <w:p w14:paraId="5C747875" w14:textId="77777777" w:rsidR="00304521" w:rsidRPr="00304521" w:rsidRDefault="00304521" w:rsidP="00304521">
      <w:pPr>
        <w:keepNext/>
        <w:keepLines/>
        <w:spacing w:before="120"/>
        <w:ind w:left="1134" w:hanging="1134"/>
        <w:outlineLvl w:val="2"/>
        <w:rPr>
          <w:rFonts w:ascii="Arial" w:hAnsi="Arial"/>
        </w:rPr>
      </w:pPr>
      <w:r w:rsidRPr="00304521">
        <w:rPr>
          <w:rFonts w:ascii="Arial" w:hAnsi="Arial"/>
        </w:rPr>
        <w:t>F.2.3.2</w:t>
      </w:r>
      <w:r w:rsidRPr="00304521">
        <w:rPr>
          <w:rFonts w:ascii="Arial" w:hAnsi="Arial"/>
        </w:rPr>
        <w:tab/>
        <w:t>Beam Failure Detection and Link Recovery Procedure</w:t>
      </w:r>
    </w:p>
    <w:p w14:paraId="0FA8F564" w14:textId="719BCBDF" w:rsidR="00304521" w:rsidRPr="004C3208" w:rsidRDefault="00304521" w:rsidP="004C3208">
      <w:pPr>
        <w:keepNext/>
        <w:keepLines/>
        <w:pBdr>
          <w:bottom w:val="single" w:sz="4" w:space="1" w:color="auto"/>
        </w:pBdr>
        <w:spacing w:before="240"/>
        <w:ind w:left="1134" w:hanging="1134"/>
        <w:outlineLvl w:val="0"/>
        <w:rPr>
          <w:rFonts w:ascii="Arial" w:eastAsia="SimSun" w:hAnsi="Arial"/>
          <w:sz w:val="24"/>
          <w:szCs w:val="24"/>
        </w:rPr>
      </w:pPr>
      <w:r w:rsidRPr="00304521">
        <w:rPr>
          <w:rFonts w:ascii="Arial" w:eastAsia="SimSun" w:hAnsi="Arial"/>
          <w:sz w:val="24"/>
          <w:szCs w:val="24"/>
        </w:rPr>
        <w:t>F.3</w:t>
      </w:r>
      <w:r w:rsidRPr="00304521">
        <w:rPr>
          <w:rFonts w:ascii="Arial" w:eastAsia="SimSun" w:hAnsi="Arial"/>
          <w:sz w:val="24"/>
          <w:szCs w:val="24"/>
        </w:rPr>
        <w:tab/>
        <w:t>Conditions for IAB-MT RRM requirements applicability for operating bands</w:t>
      </w:r>
    </w:p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t>Summary</w:t>
      </w:r>
    </w:p>
    <w:p w14:paraId="4CC455B3" w14:textId="3826D53F" w:rsidR="004E6E42" w:rsidRPr="007B306B" w:rsidRDefault="00967D32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7B306B">
        <w:rPr>
          <w:sz w:val="22"/>
          <w:szCs w:val="22"/>
          <w:lang w:val="en-US"/>
        </w:rPr>
        <w:t xml:space="preserve">In this paper we have </w:t>
      </w:r>
      <w:r w:rsidR="004C3208" w:rsidRPr="007B306B">
        <w:rPr>
          <w:sz w:val="22"/>
          <w:szCs w:val="22"/>
          <w:lang w:val="en-US"/>
        </w:rPr>
        <w:t xml:space="preserve">analyzed principles of developing RRM tests to verify the IAB-MT RRM requirements defined in TS 38.174. Following are the main proposals: </w:t>
      </w:r>
      <w:bookmarkStart w:id="5" w:name="_Hlk23953093"/>
    </w:p>
    <w:p w14:paraId="60B98B02" w14:textId="0BE97E14" w:rsidR="005D5FBA" w:rsidRPr="007B306B" w:rsidRDefault="005D5FBA" w:rsidP="005D5FBA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7B306B">
        <w:rPr>
          <w:rFonts w:ascii="Times New Roman" w:hAnsi="Times New Roman"/>
          <w:b/>
          <w:bCs/>
          <w:szCs w:val="22"/>
        </w:rPr>
        <w:t>Proposal 1:</w:t>
      </w:r>
      <w:r w:rsidRPr="007B306B">
        <w:rPr>
          <w:rFonts w:ascii="Times New Roman" w:hAnsi="Times New Roman"/>
          <w:szCs w:val="22"/>
        </w:rPr>
        <w:t xml:space="preserve"> </w:t>
      </w:r>
      <w:r w:rsidR="00CA0062" w:rsidRPr="007B306B">
        <w:rPr>
          <w:rFonts w:ascii="Times New Roman" w:hAnsi="Times New Roman"/>
          <w:szCs w:val="22"/>
        </w:rPr>
        <w:t xml:space="preserve">RRM tests are defined </w:t>
      </w:r>
      <w:r w:rsidR="00804CCC" w:rsidRPr="007B306B">
        <w:rPr>
          <w:rFonts w:ascii="Times New Roman" w:hAnsi="Times New Roman"/>
          <w:szCs w:val="22"/>
        </w:rPr>
        <w:t xml:space="preserve">in both FR1 and FR2 </w:t>
      </w:r>
      <w:r w:rsidR="00CA0062" w:rsidRPr="007B306B">
        <w:rPr>
          <w:rFonts w:ascii="Times New Roman" w:hAnsi="Times New Roman"/>
          <w:szCs w:val="22"/>
        </w:rPr>
        <w:t xml:space="preserve">to verify all IAB-MT requirements defined in </w:t>
      </w:r>
      <w:r w:rsidR="00804CCC" w:rsidRPr="007B306B">
        <w:rPr>
          <w:rFonts w:ascii="Times New Roman" w:hAnsi="Times New Roman"/>
          <w:szCs w:val="22"/>
        </w:rPr>
        <w:t xml:space="preserve">TS 38.174. </w:t>
      </w:r>
    </w:p>
    <w:p w14:paraId="3FD92B59" w14:textId="130ADBD8" w:rsidR="005D5FBA" w:rsidRPr="007B306B" w:rsidRDefault="005D5FBA" w:rsidP="005D5FBA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7B306B">
        <w:rPr>
          <w:rFonts w:ascii="Times New Roman" w:hAnsi="Times New Roman"/>
          <w:b/>
          <w:bCs/>
          <w:szCs w:val="22"/>
        </w:rPr>
        <w:t>Proposal 2:</w:t>
      </w:r>
      <w:r w:rsidRPr="007B306B">
        <w:rPr>
          <w:rFonts w:ascii="Times New Roman" w:hAnsi="Times New Roman"/>
          <w:szCs w:val="22"/>
        </w:rPr>
        <w:t xml:space="preserve"> </w:t>
      </w:r>
      <w:r w:rsidR="007B306B" w:rsidRPr="007B306B">
        <w:rPr>
          <w:rFonts w:ascii="Times New Roman" w:hAnsi="Times New Roman"/>
          <w:szCs w:val="22"/>
        </w:rPr>
        <w:t>IAB-MT RRM</w:t>
      </w:r>
      <w:r w:rsidR="007B306B">
        <w:rPr>
          <w:rFonts w:ascii="Times New Roman" w:hAnsi="Times New Roman"/>
          <w:szCs w:val="22"/>
        </w:rPr>
        <w:t xml:space="preserve"> tests shall be defined with level of details comparable to those in UE RRM tests defined in TS 38.133</w:t>
      </w:r>
    </w:p>
    <w:p w14:paraId="0DDFE3C1" w14:textId="6759D295" w:rsidR="00B90AE4" w:rsidRPr="007B306B" w:rsidRDefault="005D5FBA" w:rsidP="00B90AE4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7B306B">
        <w:rPr>
          <w:rFonts w:ascii="Times New Roman" w:hAnsi="Times New Roman"/>
          <w:b/>
          <w:bCs/>
          <w:szCs w:val="22"/>
        </w:rPr>
        <w:t xml:space="preserve">Proposal </w:t>
      </w:r>
      <w:r w:rsidR="005C5783" w:rsidRPr="007B306B">
        <w:rPr>
          <w:rFonts w:ascii="Times New Roman" w:hAnsi="Times New Roman"/>
          <w:b/>
          <w:bCs/>
          <w:szCs w:val="22"/>
        </w:rPr>
        <w:t>3</w:t>
      </w:r>
      <w:r w:rsidRPr="007B306B">
        <w:rPr>
          <w:rFonts w:ascii="Times New Roman" w:hAnsi="Times New Roman"/>
          <w:b/>
          <w:bCs/>
          <w:szCs w:val="22"/>
        </w:rPr>
        <w:t>:</w:t>
      </w:r>
      <w:r w:rsidRPr="007B306B">
        <w:rPr>
          <w:rFonts w:ascii="Times New Roman" w:hAnsi="Times New Roman"/>
          <w:szCs w:val="22"/>
        </w:rPr>
        <w:t xml:space="preserve"> </w:t>
      </w:r>
      <w:r w:rsidR="00804CCC" w:rsidRPr="007B306B">
        <w:rPr>
          <w:rFonts w:ascii="Times New Roman" w:hAnsi="Times New Roman"/>
          <w:szCs w:val="22"/>
        </w:rPr>
        <w:t xml:space="preserve">New annex </w:t>
      </w:r>
      <w:r w:rsidR="005553A2" w:rsidRPr="007B306B">
        <w:rPr>
          <w:rFonts w:ascii="Times New Roman" w:hAnsi="Times New Roman"/>
          <w:szCs w:val="22"/>
        </w:rPr>
        <w:t xml:space="preserve">in TS 38.174 shall contain IAB-MT RRM test configuration, </w:t>
      </w:r>
      <w:r w:rsidR="00804CCC" w:rsidRPr="007B306B">
        <w:rPr>
          <w:rFonts w:ascii="Times New Roman" w:hAnsi="Times New Roman"/>
          <w:szCs w:val="22"/>
        </w:rPr>
        <w:t>RRM tests</w:t>
      </w:r>
      <w:r w:rsidR="005553A2" w:rsidRPr="007B306B">
        <w:rPr>
          <w:rFonts w:ascii="Times New Roman" w:hAnsi="Times New Roman"/>
          <w:szCs w:val="22"/>
        </w:rPr>
        <w:t xml:space="preserve"> and conditions </w:t>
      </w:r>
      <w:r w:rsidR="007B306B" w:rsidRPr="007B306B">
        <w:rPr>
          <w:rFonts w:ascii="Times New Roman" w:hAnsi="Times New Roman"/>
          <w:szCs w:val="22"/>
        </w:rPr>
        <w:t>for bands in which IAB-MT requirements apply</w:t>
      </w:r>
      <w:r w:rsidRPr="007B306B">
        <w:rPr>
          <w:rFonts w:ascii="Times New Roman" w:hAnsi="Times New Roman"/>
          <w:szCs w:val="22"/>
        </w:rPr>
        <w:t>.</w:t>
      </w:r>
    </w:p>
    <w:p w14:paraId="58E4FE53" w14:textId="02F1EB95" w:rsidR="00B90AE4" w:rsidRPr="00B90AE4" w:rsidRDefault="00B90AE4" w:rsidP="004C3208">
      <w:pPr>
        <w:spacing w:before="360"/>
        <w:rPr>
          <w:szCs w:val="22"/>
        </w:rPr>
      </w:pPr>
      <w:r>
        <w:rPr>
          <w:szCs w:val="22"/>
        </w:rPr>
        <w:t>A list of test cases to verify IAB RRM requirements is provided in [1].</w:t>
      </w:r>
    </w:p>
    <w:bookmarkEnd w:id="5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lastRenderedPageBreak/>
        <w:t>References</w:t>
      </w:r>
      <w:bookmarkEnd w:id="1"/>
      <w:bookmarkEnd w:id="2"/>
    </w:p>
    <w:p w14:paraId="36D2D3B0" w14:textId="2E9D7429" w:rsidR="00403771" w:rsidRPr="00D806E7" w:rsidRDefault="00403771" w:rsidP="00D806E7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D806E7">
        <w:rPr>
          <w:rFonts w:ascii="Times New Roman" w:hAnsi="Times New Roman"/>
          <w:sz w:val="20"/>
        </w:rPr>
        <w:t>R4-2</w:t>
      </w:r>
      <w:r w:rsidR="00C1316E">
        <w:rPr>
          <w:rFonts w:ascii="Times New Roman" w:hAnsi="Times New Roman"/>
          <w:sz w:val="20"/>
        </w:rPr>
        <w:t>016174</w:t>
      </w:r>
      <w:bookmarkStart w:id="6" w:name="_GoBack"/>
      <w:bookmarkEnd w:id="6"/>
      <w:r w:rsidR="00914817">
        <w:rPr>
          <w:rFonts w:ascii="Times New Roman" w:hAnsi="Times New Roman"/>
          <w:sz w:val="20"/>
        </w:rPr>
        <w:t xml:space="preserve">, </w:t>
      </w:r>
      <w:r w:rsidR="00D806E7" w:rsidRPr="00D806E7">
        <w:rPr>
          <w:rFonts w:ascii="Times New Roman" w:hAnsi="Times New Roman"/>
          <w:sz w:val="20"/>
        </w:rPr>
        <w:t>“</w:t>
      </w:r>
      <w:r w:rsidR="00914817" w:rsidRPr="00914817">
        <w:rPr>
          <w:rFonts w:ascii="Times New Roman" w:hAnsi="Times New Roman"/>
          <w:sz w:val="20"/>
        </w:rPr>
        <w:t>IAB RRM test case</w:t>
      </w:r>
      <w:r w:rsidR="00B90AE4">
        <w:rPr>
          <w:rFonts w:ascii="Times New Roman" w:hAnsi="Times New Roman"/>
          <w:sz w:val="20"/>
        </w:rPr>
        <w:t xml:space="preserve"> list</w:t>
      </w:r>
      <w:r w:rsidR="00D806E7" w:rsidRPr="00D806E7">
        <w:rPr>
          <w:rFonts w:ascii="Times New Roman" w:hAnsi="Times New Roman"/>
          <w:sz w:val="20"/>
        </w:rPr>
        <w:t>”, Ericsson</w:t>
      </w:r>
    </w:p>
    <w:sectPr w:rsidR="00403771" w:rsidRPr="00D806E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0142C" w14:textId="77777777" w:rsidR="00A0212F" w:rsidRDefault="00A0212F">
      <w:r>
        <w:separator/>
      </w:r>
    </w:p>
  </w:endnote>
  <w:endnote w:type="continuationSeparator" w:id="0">
    <w:p w14:paraId="1065F103" w14:textId="77777777" w:rsidR="00A0212F" w:rsidRDefault="00A02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C6FE0" w14:textId="77777777" w:rsidR="00A0212F" w:rsidRDefault="00A0212F">
      <w:r>
        <w:separator/>
      </w:r>
    </w:p>
  </w:footnote>
  <w:footnote w:type="continuationSeparator" w:id="0">
    <w:p w14:paraId="6B01657C" w14:textId="77777777" w:rsidR="00A0212F" w:rsidRDefault="00A02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29790C"/>
    <w:multiLevelType w:val="hybridMultilevel"/>
    <w:tmpl w:val="457C0E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3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4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641E6D"/>
    <w:multiLevelType w:val="hybridMultilevel"/>
    <w:tmpl w:val="4120F46E"/>
    <w:lvl w:ilvl="0" w:tplc="FDC8A332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16D26"/>
    <w:multiLevelType w:val="hybridMultilevel"/>
    <w:tmpl w:val="4EA0CC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8D75AC"/>
    <w:multiLevelType w:val="hybridMultilevel"/>
    <w:tmpl w:val="8CE4878A"/>
    <w:lvl w:ilvl="0" w:tplc="2F5C3F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3C7153"/>
    <w:multiLevelType w:val="hybridMultilevel"/>
    <w:tmpl w:val="2CE0158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5" w15:restartNumberingAfterBreak="0">
    <w:nsid w:val="3C4902DD"/>
    <w:multiLevelType w:val="hybridMultilevel"/>
    <w:tmpl w:val="AE36F4E0"/>
    <w:lvl w:ilvl="0" w:tplc="F4A4C0FE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lang w:val="sv-SE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19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24" w15:restartNumberingAfterBreak="0">
    <w:nsid w:val="6B770F2C"/>
    <w:multiLevelType w:val="hybridMultilevel"/>
    <w:tmpl w:val="764A83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F023749"/>
    <w:multiLevelType w:val="hybridMultilevel"/>
    <w:tmpl w:val="4954796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FA47C33"/>
    <w:multiLevelType w:val="hybridMultilevel"/>
    <w:tmpl w:val="124EB8FE"/>
    <w:lvl w:ilvl="0" w:tplc="2F5C3F9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29"/>
  </w:num>
  <w:num w:numId="4">
    <w:abstractNumId w:val="0"/>
  </w:num>
  <w:num w:numId="5">
    <w:abstractNumId w:val="16"/>
  </w:num>
  <w:num w:numId="6">
    <w:abstractNumId w:val="27"/>
  </w:num>
  <w:num w:numId="7">
    <w:abstractNumId w:val="23"/>
  </w:num>
  <w:num w:numId="8">
    <w:abstractNumId w:val="21"/>
  </w:num>
  <w:num w:numId="9">
    <w:abstractNumId w:val="4"/>
  </w:num>
  <w:num w:numId="10">
    <w:abstractNumId w:val="14"/>
  </w:num>
  <w:num w:numId="11">
    <w:abstractNumId w:val="6"/>
  </w:num>
  <w:num w:numId="12">
    <w:abstractNumId w:val="11"/>
  </w:num>
  <w:num w:numId="13">
    <w:abstractNumId w:val="12"/>
  </w:num>
  <w:num w:numId="14">
    <w:abstractNumId w:val="3"/>
  </w:num>
  <w:num w:numId="15">
    <w:abstractNumId w:val="2"/>
  </w:num>
  <w:num w:numId="16">
    <w:abstractNumId w:val="22"/>
  </w:num>
  <w:num w:numId="17">
    <w:abstractNumId w:val="7"/>
  </w:num>
  <w:num w:numId="18">
    <w:abstractNumId w:val="26"/>
  </w:num>
  <w:num w:numId="19">
    <w:abstractNumId w:val="19"/>
  </w:num>
  <w:num w:numId="20">
    <w:abstractNumId w:val="18"/>
  </w:num>
  <w:num w:numId="21">
    <w:abstractNumId w:val="17"/>
  </w:num>
  <w:num w:numId="22">
    <w:abstractNumId w:val="20"/>
  </w:num>
  <w:num w:numId="23">
    <w:abstractNumId w:val="13"/>
  </w:num>
  <w:num w:numId="24">
    <w:abstractNumId w:val="9"/>
  </w:num>
  <w:num w:numId="25">
    <w:abstractNumId w:val="24"/>
  </w:num>
  <w:num w:numId="26">
    <w:abstractNumId w:val="10"/>
  </w:num>
  <w:num w:numId="27">
    <w:abstractNumId w:val="30"/>
  </w:num>
  <w:num w:numId="28">
    <w:abstractNumId w:val="28"/>
  </w:num>
  <w:num w:numId="29">
    <w:abstractNumId w:val="8"/>
  </w:num>
  <w:num w:numId="30">
    <w:abstractNumId w:val="15"/>
  </w:num>
  <w:num w:numId="3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99"/>
    <w:rsid w:val="000027B0"/>
    <w:rsid w:val="00007637"/>
    <w:rsid w:val="000101D5"/>
    <w:rsid w:val="00010B74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5E1B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047"/>
    <w:rsid w:val="00064A3E"/>
    <w:rsid w:val="0006529E"/>
    <w:rsid w:val="0006603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EFD"/>
    <w:rsid w:val="00080A92"/>
    <w:rsid w:val="000810CF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89"/>
    <w:rsid w:val="000A1EA8"/>
    <w:rsid w:val="000A2D20"/>
    <w:rsid w:val="000A36E3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FCE"/>
    <w:rsid w:val="000C008B"/>
    <w:rsid w:val="000C038A"/>
    <w:rsid w:val="000C0DA1"/>
    <w:rsid w:val="000C3557"/>
    <w:rsid w:val="000C4073"/>
    <w:rsid w:val="000C41D7"/>
    <w:rsid w:val="000C4870"/>
    <w:rsid w:val="000C6598"/>
    <w:rsid w:val="000C7B6F"/>
    <w:rsid w:val="000D0030"/>
    <w:rsid w:val="000D0AA7"/>
    <w:rsid w:val="000D0F90"/>
    <w:rsid w:val="000D1334"/>
    <w:rsid w:val="000D194C"/>
    <w:rsid w:val="000D1BAB"/>
    <w:rsid w:val="000D1F2F"/>
    <w:rsid w:val="000D22B0"/>
    <w:rsid w:val="000D3C75"/>
    <w:rsid w:val="000D45E7"/>
    <w:rsid w:val="000D49E8"/>
    <w:rsid w:val="000D4C06"/>
    <w:rsid w:val="000D4DB1"/>
    <w:rsid w:val="000D53FA"/>
    <w:rsid w:val="000D5A61"/>
    <w:rsid w:val="000D63A5"/>
    <w:rsid w:val="000D65EC"/>
    <w:rsid w:val="000D6B3F"/>
    <w:rsid w:val="000D6CC8"/>
    <w:rsid w:val="000D7911"/>
    <w:rsid w:val="000D7DE0"/>
    <w:rsid w:val="000E08D6"/>
    <w:rsid w:val="000E0A75"/>
    <w:rsid w:val="000E0E0D"/>
    <w:rsid w:val="000E2319"/>
    <w:rsid w:val="000E2999"/>
    <w:rsid w:val="000E3C50"/>
    <w:rsid w:val="000E3C71"/>
    <w:rsid w:val="000E4521"/>
    <w:rsid w:val="000E57FF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6125"/>
    <w:rsid w:val="000F746D"/>
    <w:rsid w:val="000F75F1"/>
    <w:rsid w:val="000F7768"/>
    <w:rsid w:val="000F78C5"/>
    <w:rsid w:val="0010015D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028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237B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33F"/>
    <w:rsid w:val="00182A49"/>
    <w:rsid w:val="00183074"/>
    <w:rsid w:val="001831D3"/>
    <w:rsid w:val="001839A7"/>
    <w:rsid w:val="00183A37"/>
    <w:rsid w:val="00183EE5"/>
    <w:rsid w:val="00183FC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591A"/>
    <w:rsid w:val="001B5C47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27C4"/>
    <w:rsid w:val="001E3527"/>
    <w:rsid w:val="001E41F3"/>
    <w:rsid w:val="001E5E0B"/>
    <w:rsid w:val="001E69C5"/>
    <w:rsid w:val="001E6BE8"/>
    <w:rsid w:val="001E6E2D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4E6C"/>
    <w:rsid w:val="001F52C3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69C"/>
    <w:rsid w:val="0022788F"/>
    <w:rsid w:val="00227F9C"/>
    <w:rsid w:val="00232834"/>
    <w:rsid w:val="00232C37"/>
    <w:rsid w:val="002356C8"/>
    <w:rsid w:val="00235D6D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475"/>
    <w:rsid w:val="00295850"/>
    <w:rsid w:val="002958D9"/>
    <w:rsid w:val="00295F0A"/>
    <w:rsid w:val="002979E8"/>
    <w:rsid w:val="002979F7"/>
    <w:rsid w:val="002A0057"/>
    <w:rsid w:val="002A10DA"/>
    <w:rsid w:val="002A12FB"/>
    <w:rsid w:val="002A1784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85D"/>
    <w:rsid w:val="002D3D25"/>
    <w:rsid w:val="002D3E0E"/>
    <w:rsid w:val="002D3F64"/>
    <w:rsid w:val="002D447B"/>
    <w:rsid w:val="002D502E"/>
    <w:rsid w:val="002D5066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4521"/>
    <w:rsid w:val="003052E9"/>
    <w:rsid w:val="00305409"/>
    <w:rsid w:val="0030790D"/>
    <w:rsid w:val="00307CA4"/>
    <w:rsid w:val="00310823"/>
    <w:rsid w:val="00310A36"/>
    <w:rsid w:val="00312007"/>
    <w:rsid w:val="00312DFD"/>
    <w:rsid w:val="003138C4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1F"/>
    <w:rsid w:val="003324E0"/>
    <w:rsid w:val="00332928"/>
    <w:rsid w:val="0033463A"/>
    <w:rsid w:val="003350E5"/>
    <w:rsid w:val="00336875"/>
    <w:rsid w:val="00337051"/>
    <w:rsid w:val="00337988"/>
    <w:rsid w:val="00340BF6"/>
    <w:rsid w:val="00341121"/>
    <w:rsid w:val="00341B75"/>
    <w:rsid w:val="00343C53"/>
    <w:rsid w:val="00344F50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7644"/>
    <w:rsid w:val="003678BD"/>
    <w:rsid w:val="003707D3"/>
    <w:rsid w:val="00372D8C"/>
    <w:rsid w:val="00373587"/>
    <w:rsid w:val="003735BE"/>
    <w:rsid w:val="003739E3"/>
    <w:rsid w:val="003745C3"/>
    <w:rsid w:val="00374E7E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873C3"/>
    <w:rsid w:val="003905F3"/>
    <w:rsid w:val="003908B3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A66DD"/>
    <w:rsid w:val="003B02AC"/>
    <w:rsid w:val="003B06ED"/>
    <w:rsid w:val="003B07C4"/>
    <w:rsid w:val="003B27A7"/>
    <w:rsid w:val="003B360F"/>
    <w:rsid w:val="003B374F"/>
    <w:rsid w:val="003B3BF5"/>
    <w:rsid w:val="003B66FA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1E3C"/>
    <w:rsid w:val="003E22F9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528"/>
    <w:rsid w:val="003F3B11"/>
    <w:rsid w:val="003F62C6"/>
    <w:rsid w:val="0040016B"/>
    <w:rsid w:val="004011D8"/>
    <w:rsid w:val="0040163E"/>
    <w:rsid w:val="00403771"/>
    <w:rsid w:val="004037E8"/>
    <w:rsid w:val="004040A8"/>
    <w:rsid w:val="004041C4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4CEB"/>
    <w:rsid w:val="004269C4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159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2A4"/>
    <w:rsid w:val="00484778"/>
    <w:rsid w:val="00485DB2"/>
    <w:rsid w:val="0048681D"/>
    <w:rsid w:val="00486F13"/>
    <w:rsid w:val="0048714D"/>
    <w:rsid w:val="00487410"/>
    <w:rsid w:val="00487D6B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508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20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400"/>
    <w:rsid w:val="004F1436"/>
    <w:rsid w:val="004F191F"/>
    <w:rsid w:val="004F1A59"/>
    <w:rsid w:val="004F1F01"/>
    <w:rsid w:val="004F3748"/>
    <w:rsid w:val="004F4AAA"/>
    <w:rsid w:val="004F5851"/>
    <w:rsid w:val="004F61F5"/>
    <w:rsid w:val="004F762E"/>
    <w:rsid w:val="00500308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52A"/>
    <w:rsid w:val="005517F3"/>
    <w:rsid w:val="00551863"/>
    <w:rsid w:val="0055344D"/>
    <w:rsid w:val="00554698"/>
    <w:rsid w:val="0055478F"/>
    <w:rsid w:val="0055506E"/>
    <w:rsid w:val="005552C0"/>
    <w:rsid w:val="005553A2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387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42AE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3574"/>
    <w:rsid w:val="005A3FDA"/>
    <w:rsid w:val="005A57E4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383F"/>
    <w:rsid w:val="005B4372"/>
    <w:rsid w:val="005B4917"/>
    <w:rsid w:val="005B5717"/>
    <w:rsid w:val="005B5BD5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783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5FBA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93"/>
    <w:rsid w:val="005E390D"/>
    <w:rsid w:val="005E57B7"/>
    <w:rsid w:val="005E68D3"/>
    <w:rsid w:val="005E6F86"/>
    <w:rsid w:val="005E72EE"/>
    <w:rsid w:val="005E7440"/>
    <w:rsid w:val="005E75F4"/>
    <w:rsid w:val="005F012D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291"/>
    <w:rsid w:val="0060426B"/>
    <w:rsid w:val="006042DE"/>
    <w:rsid w:val="00604BAC"/>
    <w:rsid w:val="006061CE"/>
    <w:rsid w:val="00607835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472F"/>
    <w:rsid w:val="00645485"/>
    <w:rsid w:val="0064607F"/>
    <w:rsid w:val="006464D9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8F8"/>
    <w:rsid w:val="00661BF5"/>
    <w:rsid w:val="00662DE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4755"/>
    <w:rsid w:val="00694D79"/>
    <w:rsid w:val="00695056"/>
    <w:rsid w:val="00695237"/>
    <w:rsid w:val="00695808"/>
    <w:rsid w:val="00696791"/>
    <w:rsid w:val="00696F36"/>
    <w:rsid w:val="00697A42"/>
    <w:rsid w:val="006A0792"/>
    <w:rsid w:val="006A1707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6AC6"/>
    <w:rsid w:val="006C715A"/>
    <w:rsid w:val="006D01D3"/>
    <w:rsid w:val="006D1A76"/>
    <w:rsid w:val="006D1C90"/>
    <w:rsid w:val="006D1F2C"/>
    <w:rsid w:val="006D270B"/>
    <w:rsid w:val="006D306E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444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02C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3659"/>
    <w:rsid w:val="007545CE"/>
    <w:rsid w:val="007547E0"/>
    <w:rsid w:val="00755C0C"/>
    <w:rsid w:val="0076004E"/>
    <w:rsid w:val="007607A4"/>
    <w:rsid w:val="007634C8"/>
    <w:rsid w:val="00764266"/>
    <w:rsid w:val="00764659"/>
    <w:rsid w:val="007648DC"/>
    <w:rsid w:val="00765685"/>
    <w:rsid w:val="007658AE"/>
    <w:rsid w:val="0076591D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AB0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92B"/>
    <w:rsid w:val="00790AA4"/>
    <w:rsid w:val="007919B5"/>
    <w:rsid w:val="00791ADA"/>
    <w:rsid w:val="00792342"/>
    <w:rsid w:val="00792870"/>
    <w:rsid w:val="00792C5F"/>
    <w:rsid w:val="00792FD5"/>
    <w:rsid w:val="00793201"/>
    <w:rsid w:val="00793450"/>
    <w:rsid w:val="00794583"/>
    <w:rsid w:val="00796520"/>
    <w:rsid w:val="00796A89"/>
    <w:rsid w:val="00796B9F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306B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D06B0"/>
    <w:rsid w:val="007D0925"/>
    <w:rsid w:val="007D0BEE"/>
    <w:rsid w:val="007D1002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F5D"/>
    <w:rsid w:val="007E78D5"/>
    <w:rsid w:val="007E7B60"/>
    <w:rsid w:val="007F087A"/>
    <w:rsid w:val="007F20F6"/>
    <w:rsid w:val="007F220A"/>
    <w:rsid w:val="007F2F89"/>
    <w:rsid w:val="007F32B1"/>
    <w:rsid w:val="007F4677"/>
    <w:rsid w:val="007F4A6D"/>
    <w:rsid w:val="007F7200"/>
    <w:rsid w:val="007F7C4C"/>
    <w:rsid w:val="007F7C71"/>
    <w:rsid w:val="00800C5B"/>
    <w:rsid w:val="00801717"/>
    <w:rsid w:val="0080296D"/>
    <w:rsid w:val="008036C0"/>
    <w:rsid w:val="00803783"/>
    <w:rsid w:val="00804CCC"/>
    <w:rsid w:val="00804F83"/>
    <w:rsid w:val="00804FF5"/>
    <w:rsid w:val="00805214"/>
    <w:rsid w:val="0080593B"/>
    <w:rsid w:val="00806219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AC0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4A4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8211D"/>
    <w:rsid w:val="008828BE"/>
    <w:rsid w:val="00882CB0"/>
    <w:rsid w:val="008832D6"/>
    <w:rsid w:val="00883843"/>
    <w:rsid w:val="0088392B"/>
    <w:rsid w:val="00883DD1"/>
    <w:rsid w:val="0088497A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B2A"/>
    <w:rsid w:val="008B69F9"/>
    <w:rsid w:val="008B6F14"/>
    <w:rsid w:val="008B743C"/>
    <w:rsid w:val="008B78B1"/>
    <w:rsid w:val="008C06DF"/>
    <w:rsid w:val="008C1254"/>
    <w:rsid w:val="008C1A5B"/>
    <w:rsid w:val="008C35AE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AF7"/>
    <w:rsid w:val="008D5068"/>
    <w:rsid w:val="008D5613"/>
    <w:rsid w:val="008D59D9"/>
    <w:rsid w:val="008D6570"/>
    <w:rsid w:val="008D6F8E"/>
    <w:rsid w:val="008D7124"/>
    <w:rsid w:val="008D7305"/>
    <w:rsid w:val="008D7C17"/>
    <w:rsid w:val="008D7F04"/>
    <w:rsid w:val="008D7F8C"/>
    <w:rsid w:val="008E00F9"/>
    <w:rsid w:val="008E048D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8F791D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12803"/>
    <w:rsid w:val="0091390D"/>
    <w:rsid w:val="00914817"/>
    <w:rsid w:val="00915F9C"/>
    <w:rsid w:val="009161D4"/>
    <w:rsid w:val="00916583"/>
    <w:rsid w:val="009176E4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9DB"/>
    <w:rsid w:val="009323D1"/>
    <w:rsid w:val="0093290D"/>
    <w:rsid w:val="009337E2"/>
    <w:rsid w:val="00933953"/>
    <w:rsid w:val="00933EC9"/>
    <w:rsid w:val="0093465F"/>
    <w:rsid w:val="009348D9"/>
    <w:rsid w:val="00934A3F"/>
    <w:rsid w:val="00935BA2"/>
    <w:rsid w:val="00935CB5"/>
    <w:rsid w:val="00935F80"/>
    <w:rsid w:val="009371F2"/>
    <w:rsid w:val="0093736D"/>
    <w:rsid w:val="00940C82"/>
    <w:rsid w:val="00940EA4"/>
    <w:rsid w:val="00941C8B"/>
    <w:rsid w:val="00941F9A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6AC"/>
    <w:rsid w:val="009918E3"/>
    <w:rsid w:val="00991B88"/>
    <w:rsid w:val="00991D70"/>
    <w:rsid w:val="00991F46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2FBC"/>
    <w:rsid w:val="009B4CCF"/>
    <w:rsid w:val="009B5909"/>
    <w:rsid w:val="009B5C55"/>
    <w:rsid w:val="009B6468"/>
    <w:rsid w:val="009B7DB1"/>
    <w:rsid w:val="009C0D95"/>
    <w:rsid w:val="009C3156"/>
    <w:rsid w:val="009C5A15"/>
    <w:rsid w:val="009C69CD"/>
    <w:rsid w:val="009C6CCD"/>
    <w:rsid w:val="009C7E54"/>
    <w:rsid w:val="009C7EA1"/>
    <w:rsid w:val="009D02C9"/>
    <w:rsid w:val="009D0A87"/>
    <w:rsid w:val="009D2AE2"/>
    <w:rsid w:val="009D2E10"/>
    <w:rsid w:val="009D4B37"/>
    <w:rsid w:val="009D4CCB"/>
    <w:rsid w:val="009D4FE9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D9A"/>
    <w:rsid w:val="009F0087"/>
    <w:rsid w:val="009F047D"/>
    <w:rsid w:val="009F061C"/>
    <w:rsid w:val="009F1714"/>
    <w:rsid w:val="009F1E33"/>
    <w:rsid w:val="009F2C00"/>
    <w:rsid w:val="009F2D35"/>
    <w:rsid w:val="009F2EEC"/>
    <w:rsid w:val="009F3706"/>
    <w:rsid w:val="009F4388"/>
    <w:rsid w:val="009F5449"/>
    <w:rsid w:val="009F56C7"/>
    <w:rsid w:val="009F63AF"/>
    <w:rsid w:val="009F63B5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89F"/>
    <w:rsid w:val="00A07C3C"/>
    <w:rsid w:val="00A07CA2"/>
    <w:rsid w:val="00A1071F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13E5"/>
    <w:rsid w:val="00A22337"/>
    <w:rsid w:val="00A224E8"/>
    <w:rsid w:val="00A22504"/>
    <w:rsid w:val="00A22999"/>
    <w:rsid w:val="00A22BCC"/>
    <w:rsid w:val="00A24032"/>
    <w:rsid w:val="00A24595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2E30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19A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3013"/>
    <w:rsid w:val="00A844EA"/>
    <w:rsid w:val="00A84A3A"/>
    <w:rsid w:val="00A84B77"/>
    <w:rsid w:val="00A8690E"/>
    <w:rsid w:val="00A87366"/>
    <w:rsid w:val="00A90543"/>
    <w:rsid w:val="00A906BA"/>
    <w:rsid w:val="00A909ED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3161"/>
    <w:rsid w:val="00AC38E7"/>
    <w:rsid w:val="00AC42ED"/>
    <w:rsid w:val="00AC4D86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79B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265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521"/>
    <w:rsid w:val="00B122C3"/>
    <w:rsid w:val="00B124E2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1BC4"/>
    <w:rsid w:val="00B4222D"/>
    <w:rsid w:val="00B42320"/>
    <w:rsid w:val="00B42EE4"/>
    <w:rsid w:val="00B44156"/>
    <w:rsid w:val="00B44444"/>
    <w:rsid w:val="00B448B2"/>
    <w:rsid w:val="00B44E82"/>
    <w:rsid w:val="00B45484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32E"/>
    <w:rsid w:val="00B778F3"/>
    <w:rsid w:val="00B80BB3"/>
    <w:rsid w:val="00B81580"/>
    <w:rsid w:val="00B823CA"/>
    <w:rsid w:val="00B82D17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0AE4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79D"/>
    <w:rsid w:val="00BD3926"/>
    <w:rsid w:val="00BD3FBB"/>
    <w:rsid w:val="00BD41C1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6821"/>
    <w:rsid w:val="00BE70B6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4AE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2FFF"/>
    <w:rsid w:val="00C1316E"/>
    <w:rsid w:val="00C13D47"/>
    <w:rsid w:val="00C147E1"/>
    <w:rsid w:val="00C16487"/>
    <w:rsid w:val="00C164A9"/>
    <w:rsid w:val="00C167A9"/>
    <w:rsid w:val="00C16C4E"/>
    <w:rsid w:val="00C1754C"/>
    <w:rsid w:val="00C17E7B"/>
    <w:rsid w:val="00C20A0B"/>
    <w:rsid w:val="00C20B33"/>
    <w:rsid w:val="00C220B7"/>
    <w:rsid w:val="00C225BF"/>
    <w:rsid w:val="00C232D1"/>
    <w:rsid w:val="00C23A0F"/>
    <w:rsid w:val="00C252E5"/>
    <w:rsid w:val="00C25775"/>
    <w:rsid w:val="00C25A4B"/>
    <w:rsid w:val="00C26696"/>
    <w:rsid w:val="00C268F7"/>
    <w:rsid w:val="00C27AF1"/>
    <w:rsid w:val="00C27F99"/>
    <w:rsid w:val="00C301A6"/>
    <w:rsid w:val="00C31B71"/>
    <w:rsid w:val="00C3238A"/>
    <w:rsid w:val="00C34FA5"/>
    <w:rsid w:val="00C373A8"/>
    <w:rsid w:val="00C37B2E"/>
    <w:rsid w:val="00C4072E"/>
    <w:rsid w:val="00C41603"/>
    <w:rsid w:val="00C43488"/>
    <w:rsid w:val="00C4375E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57587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4506"/>
    <w:rsid w:val="00C95985"/>
    <w:rsid w:val="00C96844"/>
    <w:rsid w:val="00C96CC4"/>
    <w:rsid w:val="00CA0062"/>
    <w:rsid w:val="00CA0882"/>
    <w:rsid w:val="00CA0FF3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C741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F9E"/>
    <w:rsid w:val="00CD66F9"/>
    <w:rsid w:val="00CD6D10"/>
    <w:rsid w:val="00CD776E"/>
    <w:rsid w:val="00CE07A8"/>
    <w:rsid w:val="00CE0C2A"/>
    <w:rsid w:val="00CE10DF"/>
    <w:rsid w:val="00CE1F02"/>
    <w:rsid w:val="00CE21F0"/>
    <w:rsid w:val="00CE26DD"/>
    <w:rsid w:val="00CE30BD"/>
    <w:rsid w:val="00CE6BD9"/>
    <w:rsid w:val="00CF2DC2"/>
    <w:rsid w:val="00CF35F6"/>
    <w:rsid w:val="00CF41DE"/>
    <w:rsid w:val="00CF6441"/>
    <w:rsid w:val="00CF7C00"/>
    <w:rsid w:val="00CF7DDB"/>
    <w:rsid w:val="00D0012B"/>
    <w:rsid w:val="00D01693"/>
    <w:rsid w:val="00D01E17"/>
    <w:rsid w:val="00D03CD5"/>
    <w:rsid w:val="00D03F9A"/>
    <w:rsid w:val="00D041BA"/>
    <w:rsid w:val="00D04FA1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210F2"/>
    <w:rsid w:val="00D21F95"/>
    <w:rsid w:val="00D223B1"/>
    <w:rsid w:val="00D22FFB"/>
    <w:rsid w:val="00D236EC"/>
    <w:rsid w:val="00D23B8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4561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C05"/>
    <w:rsid w:val="00D772B6"/>
    <w:rsid w:val="00D77779"/>
    <w:rsid w:val="00D80251"/>
    <w:rsid w:val="00D8045C"/>
    <w:rsid w:val="00D806E7"/>
    <w:rsid w:val="00D80760"/>
    <w:rsid w:val="00D81738"/>
    <w:rsid w:val="00D85D4B"/>
    <w:rsid w:val="00D86738"/>
    <w:rsid w:val="00D86A45"/>
    <w:rsid w:val="00D87331"/>
    <w:rsid w:val="00D876EA"/>
    <w:rsid w:val="00D90155"/>
    <w:rsid w:val="00D9144A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D3D"/>
    <w:rsid w:val="00DE2F9C"/>
    <w:rsid w:val="00DE31E5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62D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4F9"/>
    <w:rsid w:val="00E27D80"/>
    <w:rsid w:val="00E30311"/>
    <w:rsid w:val="00E30B66"/>
    <w:rsid w:val="00E3124B"/>
    <w:rsid w:val="00E32EF4"/>
    <w:rsid w:val="00E330E9"/>
    <w:rsid w:val="00E334F8"/>
    <w:rsid w:val="00E35004"/>
    <w:rsid w:val="00E353CD"/>
    <w:rsid w:val="00E356CA"/>
    <w:rsid w:val="00E35B05"/>
    <w:rsid w:val="00E35B62"/>
    <w:rsid w:val="00E36979"/>
    <w:rsid w:val="00E37106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5096A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0D20"/>
    <w:rsid w:val="00E913A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BFF"/>
    <w:rsid w:val="00EE5707"/>
    <w:rsid w:val="00EE6163"/>
    <w:rsid w:val="00EE632F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026D"/>
    <w:rsid w:val="00F11233"/>
    <w:rsid w:val="00F114F9"/>
    <w:rsid w:val="00F115EA"/>
    <w:rsid w:val="00F134EA"/>
    <w:rsid w:val="00F136C2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DDD"/>
    <w:rsid w:val="00F31051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301"/>
    <w:rsid w:val="00F45C34"/>
    <w:rsid w:val="00F4756D"/>
    <w:rsid w:val="00F5024A"/>
    <w:rsid w:val="00F507B4"/>
    <w:rsid w:val="00F51B6B"/>
    <w:rsid w:val="00F52204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A28"/>
    <w:rsid w:val="00F66CDD"/>
    <w:rsid w:val="00F6723F"/>
    <w:rsid w:val="00F673A0"/>
    <w:rsid w:val="00F67DDA"/>
    <w:rsid w:val="00F71DA2"/>
    <w:rsid w:val="00F71DAD"/>
    <w:rsid w:val="00F74533"/>
    <w:rsid w:val="00F75299"/>
    <w:rsid w:val="00F76AD5"/>
    <w:rsid w:val="00F7792E"/>
    <w:rsid w:val="00F80396"/>
    <w:rsid w:val="00F806BB"/>
    <w:rsid w:val="00F824CE"/>
    <w:rsid w:val="00F82513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4E0A"/>
    <w:rsid w:val="00F95458"/>
    <w:rsid w:val="00F95C2B"/>
    <w:rsid w:val="00F95F5A"/>
    <w:rsid w:val="00F97C1F"/>
    <w:rsid w:val="00F97CFA"/>
    <w:rsid w:val="00F97E7E"/>
    <w:rsid w:val="00FA04B5"/>
    <w:rsid w:val="00FA0D51"/>
    <w:rsid w:val="00FA0DDB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4EA"/>
    <w:rsid w:val="00FC090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85F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9b239327-9e80-40e4-b1b7-4394fed77a33"/>
    <ds:schemaRef ds:uri="2f282d3b-eb4a-4b09-b61f-b9593442e286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FA3BE1-0420-4610-97A2-C25634AF5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3</Pages>
  <Words>691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39</cp:revision>
  <cp:lastPrinted>1899-12-31T23:00:00Z</cp:lastPrinted>
  <dcterms:created xsi:type="dcterms:W3CDTF">2020-10-22T11:52:00Z</dcterms:created>
  <dcterms:modified xsi:type="dcterms:W3CDTF">2020-10-23T16:57:00Z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